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D" w:rsidRPr="00F51F69" w:rsidRDefault="00072CED" w:rsidP="00BB2F2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0260A2" w:rsidRPr="00F51F69" w:rsidRDefault="00072CED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первом (пятом) заседании продолжающегося научного семинара </w:t>
      </w:r>
      <w:r w:rsidRPr="00F51F69">
        <w:rPr>
          <w:rFonts w:ascii="Times New Roman" w:hAnsi="Times New Roman"/>
          <w:color w:val="000000" w:themeColor="text1"/>
          <w:sz w:val="28"/>
          <w:szCs w:val="28"/>
        </w:rPr>
        <w:t xml:space="preserve">«Проблемы методологии и тезауруса “усадебных” исследований </w:t>
      </w:r>
    </w:p>
    <w:p w:rsidR="00072CED" w:rsidRPr="00F51F69" w:rsidRDefault="00072CED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1F69">
        <w:rPr>
          <w:rFonts w:ascii="Times New Roman" w:hAnsi="Times New Roman"/>
          <w:color w:val="000000" w:themeColor="text1"/>
          <w:sz w:val="28"/>
          <w:szCs w:val="28"/>
        </w:rPr>
        <w:t>в российском и зарубежном литературоведении»</w:t>
      </w:r>
    </w:p>
    <w:p w:rsidR="00CD1C3A" w:rsidRPr="00F51F69" w:rsidRDefault="00CD1C3A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1F69">
        <w:rPr>
          <w:rFonts w:ascii="Times New Roman" w:hAnsi="Times New Roman"/>
          <w:color w:val="000000" w:themeColor="text1"/>
          <w:sz w:val="28"/>
          <w:szCs w:val="28"/>
        </w:rPr>
        <w:t>на тему:</w:t>
      </w:r>
      <w:bookmarkStart w:id="0" w:name="_GoBack"/>
      <w:bookmarkEnd w:id="0"/>
    </w:p>
    <w:p w:rsidR="000260A2" w:rsidRPr="00F51F69" w:rsidRDefault="000260A2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67B" w:rsidRPr="00F51F69" w:rsidRDefault="0014167B" w:rsidP="0014167B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F51F69">
        <w:rPr>
          <w:rFonts w:ascii="Times New Roman" w:hAnsi="Times New Roman"/>
          <w:b/>
          <w:sz w:val="28"/>
          <w:szCs w:val="28"/>
        </w:rPr>
        <w:t xml:space="preserve">«Усадебный текст русской литературы </w:t>
      </w:r>
      <w:r w:rsidRPr="00F51F69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F51F69">
        <w:rPr>
          <w:rFonts w:ascii="Times New Roman" w:hAnsi="Times New Roman"/>
          <w:sz w:val="28"/>
          <w:szCs w:val="28"/>
        </w:rPr>
        <w:t>–</w:t>
      </w:r>
      <w:r w:rsidRPr="00F51F69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F51F69">
        <w:rPr>
          <w:rFonts w:ascii="Times New Roman" w:hAnsi="Times New Roman"/>
          <w:b/>
          <w:sz w:val="28"/>
          <w:szCs w:val="28"/>
        </w:rPr>
        <w:t xml:space="preserve"> вв.: </w:t>
      </w:r>
    </w:p>
    <w:p w:rsidR="0014167B" w:rsidRPr="00F51F69" w:rsidRDefault="0014167B" w:rsidP="0014167B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1F69">
        <w:rPr>
          <w:rFonts w:ascii="Times New Roman" w:hAnsi="Times New Roman"/>
          <w:b/>
          <w:sz w:val="28"/>
          <w:szCs w:val="28"/>
        </w:rPr>
        <w:t>интертекст</w:t>
      </w:r>
      <w:proofErr w:type="spellEnd"/>
      <w:r w:rsidRPr="00F51F69">
        <w:rPr>
          <w:rFonts w:ascii="Times New Roman" w:hAnsi="Times New Roman"/>
          <w:b/>
          <w:sz w:val="28"/>
          <w:szCs w:val="28"/>
        </w:rPr>
        <w:t xml:space="preserve">, гипертекст или </w:t>
      </w:r>
      <w:proofErr w:type="spellStart"/>
      <w:r w:rsidRPr="00F51F69">
        <w:rPr>
          <w:rFonts w:ascii="Times New Roman" w:hAnsi="Times New Roman"/>
          <w:b/>
          <w:sz w:val="28"/>
          <w:szCs w:val="28"/>
        </w:rPr>
        <w:t>сверхтекст</w:t>
      </w:r>
      <w:proofErr w:type="spellEnd"/>
      <w:r w:rsidRPr="00F51F69">
        <w:rPr>
          <w:rFonts w:ascii="Times New Roman" w:hAnsi="Times New Roman"/>
          <w:b/>
          <w:sz w:val="28"/>
          <w:szCs w:val="28"/>
        </w:rPr>
        <w:t>?»</w:t>
      </w:r>
    </w:p>
    <w:p w:rsidR="000260A2" w:rsidRPr="00F51F69" w:rsidRDefault="000260A2" w:rsidP="0014167B">
      <w:pPr>
        <w:pStyle w:val="a3"/>
        <w:tabs>
          <w:tab w:val="left" w:pos="9072"/>
        </w:tabs>
        <w:spacing w:after="0" w:line="240" w:lineRule="auto"/>
        <w:ind w:left="-567" w:right="28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2CED" w:rsidRPr="00F51F69" w:rsidRDefault="00072CED" w:rsidP="006B34A8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проекту РНФ 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22-18-00051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«Усадьба и дача в русской литературе ХХ−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вв.: судьбы национального идеала»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(рук.</w:t>
      </w:r>
      <w:proofErr w:type="gramEnd"/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О.А. Богданова).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2CED" w:rsidRPr="00F51F69" w:rsidRDefault="00072CED" w:rsidP="006B34A8">
      <w:pPr>
        <w:pStyle w:val="a4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Финансовая поддержка Российского научного фонда.</w:t>
      </w:r>
    </w:p>
    <w:p w:rsidR="00072CED" w:rsidRPr="00F51F69" w:rsidRDefault="00072CED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CED" w:rsidRPr="00F51F69" w:rsidRDefault="00072CED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(ИМЛИ РАН, 6 февраля 2023 г.)</w:t>
      </w:r>
    </w:p>
    <w:p w:rsidR="00072CED" w:rsidRPr="00F51F69" w:rsidRDefault="00072CED" w:rsidP="006B34A8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3FDB" w:rsidRPr="00F51F69" w:rsidRDefault="00072CED" w:rsidP="0014167B">
      <w:pPr>
        <w:pStyle w:val="a3"/>
        <w:tabs>
          <w:tab w:val="left" w:pos="9638"/>
        </w:tabs>
        <w:spacing w:after="0" w:line="240" w:lineRule="auto"/>
        <w:ind w:left="0" w:right="-1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феврал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 202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в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Каминном зале ИМЛИ РАН состоялось первое (пятое)  заседание «</w:t>
      </w:r>
      <w:r w:rsidR="0014167B" w:rsidRPr="00F51F69">
        <w:rPr>
          <w:rFonts w:ascii="Times New Roman" w:hAnsi="Times New Roman"/>
          <w:b/>
          <w:sz w:val="28"/>
          <w:szCs w:val="28"/>
        </w:rPr>
        <w:t xml:space="preserve">Усадебный текст русской литературы </w:t>
      </w:r>
      <w:r w:rsidR="0014167B" w:rsidRPr="00F51F69">
        <w:rPr>
          <w:rFonts w:ascii="Times New Roman" w:hAnsi="Times New Roman"/>
          <w:b/>
          <w:sz w:val="28"/>
          <w:szCs w:val="28"/>
          <w:lang w:val="en-US"/>
        </w:rPr>
        <w:t>XX</w:t>
      </w:r>
      <w:r w:rsidR="0014167B" w:rsidRPr="00F51F69">
        <w:rPr>
          <w:rFonts w:ascii="Times New Roman" w:hAnsi="Times New Roman"/>
          <w:sz w:val="28"/>
          <w:szCs w:val="28"/>
        </w:rPr>
        <w:t>–</w:t>
      </w:r>
      <w:r w:rsidR="0014167B" w:rsidRPr="00F51F6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14167B" w:rsidRPr="00F51F69">
        <w:rPr>
          <w:rFonts w:ascii="Times New Roman" w:hAnsi="Times New Roman"/>
          <w:b/>
          <w:sz w:val="28"/>
          <w:szCs w:val="28"/>
        </w:rPr>
        <w:t xml:space="preserve"> вв.: </w:t>
      </w:r>
      <w:proofErr w:type="spellStart"/>
      <w:r w:rsidR="0014167B" w:rsidRPr="00F51F69">
        <w:rPr>
          <w:rFonts w:ascii="Times New Roman" w:hAnsi="Times New Roman"/>
          <w:b/>
          <w:sz w:val="28"/>
          <w:szCs w:val="28"/>
        </w:rPr>
        <w:t>интертекст</w:t>
      </w:r>
      <w:proofErr w:type="spellEnd"/>
      <w:r w:rsidR="0014167B" w:rsidRPr="00F51F69">
        <w:rPr>
          <w:rFonts w:ascii="Times New Roman" w:hAnsi="Times New Roman"/>
          <w:b/>
          <w:sz w:val="28"/>
          <w:szCs w:val="28"/>
        </w:rPr>
        <w:t xml:space="preserve">, гипертекст или </w:t>
      </w:r>
      <w:proofErr w:type="spellStart"/>
      <w:r w:rsidR="0014167B" w:rsidRPr="00F51F69">
        <w:rPr>
          <w:rFonts w:ascii="Times New Roman" w:hAnsi="Times New Roman"/>
          <w:b/>
          <w:sz w:val="28"/>
          <w:szCs w:val="28"/>
        </w:rPr>
        <w:t>сверхтекст</w:t>
      </w:r>
      <w:proofErr w:type="spellEnd"/>
      <w:r w:rsidR="0014167B" w:rsidRPr="00F51F69">
        <w:rPr>
          <w:rFonts w:ascii="Times New Roman" w:hAnsi="Times New Roman"/>
          <w:b/>
          <w:sz w:val="28"/>
          <w:szCs w:val="28"/>
        </w:rPr>
        <w:t>?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продолжающегося </w:t>
      </w:r>
      <w:r w:rsidR="00CD1C3A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научн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="00CD1C3A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семинар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51F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«Проблемы методологии и тезауруса “усадебных” исследований в российском и зарубежном литературоведении» 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рамках проекта Российского научного фонда № 22-18-00051 «Усадьба и дача в русской литературе 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</w:t>
      </w:r>
      <w:r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XXI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вв.: судьбы национального идеала» (рук.</w:t>
      </w:r>
      <w:proofErr w:type="gramEnd"/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О.А. Богданова).</w:t>
      </w:r>
    </w:p>
    <w:p w:rsidR="008A3FDB" w:rsidRPr="00F51F69" w:rsidRDefault="008A3FDB" w:rsidP="006B34A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Организаторами семинара выступили Отдел русской литературы конца 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XIX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– начала ХХ в., Отдел русской классической литературы, Отдел новейшей русской литературы и литературы русского зарубежья, </w:t>
      </w:r>
      <w:r w:rsidR="00072CED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 теории литературы, 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научная лаборатория </w:t>
      </w:r>
      <w:proofErr w:type="spellStart"/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Rossica</w:t>
      </w:r>
      <w:proofErr w:type="spellEnd"/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Совет молодых ученых ИМЛИ РАН.</w:t>
      </w:r>
    </w:p>
    <w:p w:rsidR="006632E4" w:rsidRPr="00F51F69" w:rsidRDefault="006B34A8" w:rsidP="006632E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Заседание открыла </w:t>
      </w:r>
      <w:r w:rsidR="00072CED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A3FD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проекта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8A3FDB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A3FDB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.н.с</w:t>
      </w:r>
      <w:proofErr w:type="spellEnd"/>
      <w:r w:rsidR="008A3FDB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ИМЛИ РАН 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Ольга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Алимовна</w:t>
      </w:r>
      <w:proofErr w:type="spellEnd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Богданова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докладом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«Невидимые з</w:t>
      </w:r>
      <w:r w:rsidR="00F9605C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венья “усадебного </w:t>
      </w:r>
      <w:proofErr w:type="spellStart"/>
      <w:r w:rsidR="00F9605C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сверхтекста</w:t>
      </w:r>
      <w:proofErr w:type="spellEnd"/>
      <w:r w:rsidR="00F9605C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котором была</w:t>
      </w:r>
      <w:r w:rsidR="004E7A61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проведена 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верификация термина «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(с опорой на его понимание, данное Н.Е.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Меднис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др.) по отношению к соответствующему корпусу произведений русской литературы. Показано соотношение терминов «усадебный текст» (с опорой на его понимание, данное В.Г. Щукиным) и «усадебный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(с опорой на его понимание, данное О.А. Гриневич). Сделан вывод о том, что исходя из реального употребления в российской науке рубежа XX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XXI вв. указанных терминов, термин «усадебный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можно считать избыточным. Однако, с учетом нового качества усадебной литературы в советский и постсоветский периоды, в докладе предлагается все же сохранить термин «усадебный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наполнив его новым содержанием. В самом деле, «усадебный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второй трети XX – начала XXI вв., в отличие от привычного «усадебного текста», способен вбирать в себя произведения, тематически не связанные с изображением традиционной усадьбы, однако несущие в себе черты, обозначаемые новыми, вводимыми О.А. Богдановой в научный оборот категориями: «усадебный габитус» (выработанные в 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«усадебной культуре» поведенческие модели), «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усадебность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(фиксация перехода «усадебной культуры» в ментальное измерение – сферу культурной памяти, этической и эстетической идеализации, национальных архетипов, а на рубеже XX</w:t>
      </w:r>
      <w:r w:rsidR="00F86F94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XXI вв. – в область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медийно</w:t>
      </w:r>
      <w:proofErr w:type="spellEnd"/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растиражированной виртуальной реальности) и «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криптоусадебная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мифология» (которая возникает в советский период вокруг переформатированных усадеб, лишенных ряда коннотаций «усадебного мифа» Серебряного века и окруженных атмосферой новой советской мифологии, связанной с проективной утопией «строительства светлого будущего» и «воспитания нового человека»).</w:t>
      </w:r>
    </w:p>
    <w:p w:rsidR="00FE039C" w:rsidRPr="00F51F69" w:rsidRDefault="00FE039C" w:rsidP="00FE039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д.ф.н., </w:t>
      </w:r>
      <w:r w:rsidR="007E1877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члена-корр. РАН, зав. Отделом русской классической литературы ИМЛИ РАН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Екатерин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Евгеньевны 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</w:t>
      </w:r>
      <w:r w:rsidR="006B3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B3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Усадебный </w:t>
      </w:r>
      <w:proofErr w:type="spellStart"/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интертекст</w:t>
      </w:r>
      <w:proofErr w:type="spellEnd"/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 как межкультурный диалог: русско-французские литературные взаимосвязи»</w:t>
      </w:r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прослеживалась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потомков маркиза де Сада Лоры де Сад (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Laure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Marie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Charlotte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de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Sade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1859–1936), чье имя прозрачно намекало на ее родство со знаменитой Лаурой, воспетой Петраркой. Сама же она была объектом поклонения Марселя Пруста, послужив одним из прототипов герцогини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Германтской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«Поисках утраченного времени». Ее внучка, Мари-Лор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Шевинье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замужестве да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Ноай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вместе со своим мужем Шарлем де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Ноай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стала крупнейшим меценатом европейского и, в частности, русского авангарда первой трети ХХ в. Основной площадкой встреч с художественной богемой начла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века, их игр и праздников, а также сферой приложения собственной артистической деятельности было  поместье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Иер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Hy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è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res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находившееся недалеко от замка 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Лакост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когда-то принадлежавшего маркизу де Саду. Так создавался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своеобразный «усадебный интертекст», в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бра</w:t>
      </w:r>
      <w:proofErr w:type="spellStart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</w:t>
      </w:r>
      <w:proofErr w:type="spellEnd"/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ий в себя специфические элементы 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культуры 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XVIII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F5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веков, определенную роль в котором играла также и русская культура.</w:t>
      </w:r>
    </w:p>
    <w:p w:rsidR="00F86F94" w:rsidRPr="00F51F69" w:rsidRDefault="006B34A8" w:rsidP="00F86F94">
      <w:pPr>
        <w:tabs>
          <w:tab w:val="left" w:pos="0"/>
          <w:tab w:val="lef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докладе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д.ф.н.,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71EBA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ИМЛИ РАН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Натальи Николаевны Смирновой «</w:t>
      </w:r>
      <w:proofErr w:type="spellStart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Locus</w:t>
      </w:r>
      <w:proofErr w:type="spellEnd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nascendi</w:t>
      </w:r>
      <w:proofErr w:type="spellEnd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сверхтекст</w:t>
      </w:r>
      <w:proofErr w:type="spellEnd"/>
      <w:r w:rsidR="00037253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(целостность / фрагментарность восприятия художественного мира)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6F94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речь шла о 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важност</w:t>
      </w:r>
      <w:r w:rsidR="00F86F94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восприятия изначальной целостности художественного мира</w:t>
      </w:r>
      <w:r w:rsidR="00F86F94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 чем неоднократно высказывался еще Л.Н. Толстой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опытах не только художественной, но и философско-эстетической рефлексии писателя содержатся идеи противопоставления изначального (связанного с местом зарождения вещи) вторичному (отчуждающим факторам) в восприятии творения. В западной традиции термин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locus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nascendi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(место зарождения) в 1920-е гг. предложил Я.Л. Морено для описания эфемерности и неповторимости театрального действа. Он позволяет изучать феноменологию первоначального окружения творения. Исток художественного творения был в центре внимания М. Хайдеггера и Г.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Гадамера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1930</w:t>
      </w:r>
      <w:r w:rsidR="00F86F94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1950-е гг.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Locus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nascendi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обусловливает уникальность, а не взаимозаменяемость явления. С этой точки зрения, творение не только формируется первоначальным окружением, но и живет преимущественно в нем. Будучи оторванным от своего первоначального окружения, как, например, музейный экспонат, творение становится просто 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вещью в ряду вещей. В противоположность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феноменологии творения, изучение единиц культуры –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сверхтекстов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в их множественности, общности и системности фрагментирует, часто произвольно, в зависимости от исследовательских задач, расщепляет художественный мир, представляя отчетливо его элементы, механику их взаимодействия, лишает восприятия уникальности и целостности творения. Система, которая таким образом выстраивается, представляет собой искусственную модель творения, заменяя его. Напротив,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locus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nascendi</w:t>
      </w:r>
      <w:proofErr w:type="spellEnd"/>
      <w:r w:rsidR="00037253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обращает к замыслу и первоначальному ландшафту, в котором зарождается и протекает жизнь творения.</w:t>
      </w:r>
    </w:p>
    <w:p w:rsidR="00F86F94" w:rsidRPr="00F51F69" w:rsidRDefault="00F86F94" w:rsidP="00F86F94">
      <w:pPr>
        <w:tabs>
          <w:tab w:val="left" w:pos="0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К.ф.н.,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C4661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ИМЛИ РАН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Максим Владимирович </w:t>
      </w:r>
      <w:r w:rsidR="00D44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Скороходов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посвятил свой доклад «“</w:t>
      </w:r>
      <w:r w:rsidR="00D44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Усадебный текст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D44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контексте </w:t>
      </w:r>
      <w:proofErr w:type="spellStart"/>
      <w:r w:rsidR="00D444A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дигитализации</w:t>
      </w:r>
      <w:proofErr w:type="spellEnd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анализу возможностей </w:t>
      </w:r>
      <w:r w:rsidR="00D44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44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гуманитарной сфере цифровых технологий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</w:t>
      </w:r>
      <w:r w:rsidR="00D44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позволяет рассматривать «усадебный текст» русской литературы как часть гипертекста, изучением которого занимаются литературоведы, искусствоведы, музыковеды и представители других научных дисциплин. В докладе были раскрыты возможности поиска типологически близких образов в литературе и разных видах искусства с использованием баз данных оцифрованных произведений писателей и деятелей культуры, а также различного рода документов. Особое внимание было уделено электронной версии Государственного каталога Музейного фонда Российской Федерации (https://goskatalog.ru/). В </w:t>
      </w:r>
      <w:proofErr w:type="spellStart"/>
      <w:r w:rsidR="00D44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Госкаталоге</w:t>
      </w:r>
      <w:proofErr w:type="spellEnd"/>
      <w:r w:rsidR="00D44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как и в самих музеях, предметы систематизированы по видам хранения. Для специалистов по «усадебному тексту» наибольший интерес представляют следующие позиции: фотографии и негативы, предметы печатной продукции, редкие книги, документы, живопись, предметы прикладного искусства, быта и этнографии.</w:t>
      </w:r>
    </w:p>
    <w:p w:rsidR="00F86F94" w:rsidRPr="00F51F69" w:rsidRDefault="00D444A8" w:rsidP="00D03ADB">
      <w:pPr>
        <w:tabs>
          <w:tab w:val="left" w:pos="0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значительный объем информации можно получить на ресурсах, выход на которые возможен через сайт РГБ (https://search.rsl.ru/ru/networkresources/index). Некоторые из них доступны для работы с домашних компьютеров, другие — только из залов библиотеки или на основе специальных договоров. База данных постоянно обновляется и расширяется. Так, несколько месяцев назад была размещена полная подшивка журнала «Старые годы» за 1907–1916 годы (https://dlib.eastview.com/browse/books/5290#/). Есть и выходивший в Париже двухнедельный литературно-иллюстрированный журнал «Иллюстрированная Россия» (https://dlib.eastview.com/browse/books/3671#/) за 1924–1939 годы. В последнем из названных изданий печатались многие крупные русские писатели, на его страницах регулярно поднималась усадебная тема.</w:t>
      </w:r>
    </w:p>
    <w:p w:rsidR="00D444A8" w:rsidRPr="00F51F69" w:rsidRDefault="00F86F94" w:rsidP="00F86F9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Доклад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к.ф.н.,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B6C35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ИМЛИ РАН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Наталь</w:t>
      </w:r>
      <w:r w:rsidR="004B6C35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Владимировн</w:t>
      </w:r>
      <w:r w:rsidR="004B6C35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Михаленко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«“</w:t>
      </w:r>
      <w:proofErr w:type="spellStart"/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Усадебность</w:t>
      </w:r>
      <w:proofErr w:type="spellEnd"/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как ключ к усадебной топике в литературе и культуре рубежа 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вв.»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 основан на изучении 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творчеств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Б.Ш. Окуджавы, С.Я. и Т.Х. Никитиных, А.И. Иващенко и Г.Л. Васильева, И.Б. Белого и др.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текстах которых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присутствуют отдельные упоминания усадебной и дачной жизни, аллюзии и ассоциации, с ней связанные. Создаваемый в авторской песне 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хронотоп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дачи тесно сопряжен с памятью рода, необходимостью передачи </w:t>
      </w:r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культурного кода последующим поколениям. Применение новых терминов «</w:t>
      </w:r>
      <w:proofErr w:type="spellStart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усадебность</w:t>
      </w:r>
      <w:proofErr w:type="spellEnd"/>
      <w:r w:rsidR="00D444A8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«усадебный габитус», «дачный миф» и др. позволит рассмотреть феномен авторской и бардовской песни как интерпретацию в новых реалиях традиционного образа поместной жизни, попытку воссоздания ее культурных ценностей и атмосферу единства искусства и природы. </w:t>
      </w:r>
    </w:p>
    <w:p w:rsidR="00D444A8" w:rsidRPr="00F51F69" w:rsidRDefault="00F86F94" w:rsidP="0037252B">
      <w:pPr>
        <w:tabs>
          <w:tab w:val="left" w:pos="0"/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К.ф.н., </w:t>
      </w:r>
      <w:proofErr w:type="spellStart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A7297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ИМЛИ РАН </w:t>
      </w:r>
      <w:r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Анна Сергеевна </w:t>
      </w:r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Акимова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</w:t>
      </w:r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Интертекстуальные</w:t>
      </w:r>
      <w:proofErr w:type="spellEnd"/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автоинтертекстуальные</w:t>
      </w:r>
      <w:proofErr w:type="spellEnd"/>
      <w:r w:rsidR="00A61FDF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обертоны усадьбы в творчестве А.Н. Толстого 1920–194</w:t>
      </w:r>
      <w:r w:rsidR="00F9605C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0-х гг.»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проследила использование А.Н. Толстым и трансформацию в его прозе «усадебных» образов и мотивов. Приемы, впервые примененные в создании образа усадьбы в рассказах-стилизациях «Соревнователь» и «Яшмовая тетрадь» (1909), в фант</w:t>
      </w:r>
      <w:r w:rsidR="00CA7297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астическом рассказе «Смерть </w:t>
      </w:r>
      <w:proofErr w:type="spellStart"/>
      <w:r w:rsidR="00CA7297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Налы</w:t>
      </w:r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мовых</w:t>
      </w:r>
      <w:proofErr w:type="spellEnd"/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(1909), «Барон» (1912), «Трагик» (1913) и ряде других, были использованы </w:t>
      </w:r>
      <w:r w:rsidR="0037252B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А.Н. </w:t>
      </w:r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Толстым в созданном незадолго до эмиграции очерке «Между небом и землей (Очерки нравов литературной Москвы)» (1918) (их развитие находим в рассказе 1922 г. «Страницы из новой повести»), в изданных в эмиграции произведениях «Граф Калиостро» (1922) и «Повести о многих превосходных вещах» (1922), а также в первом сатирическом произведении, созданном после возвращения в СССР, «Похождени</w:t>
      </w:r>
      <w:r w:rsidR="00CA7297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Невзорова</w:t>
      </w:r>
      <w:proofErr w:type="spellEnd"/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</w:t>
      </w:r>
      <w:proofErr w:type="spellStart"/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Ибикус</w:t>
      </w:r>
      <w:proofErr w:type="spellEnd"/>
      <w:r w:rsidR="00AD368A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(1925) и в фантастическом романе «Гиперболоид инженера Гарина» (1926–1927). </w:t>
      </w:r>
      <w:r w:rsidR="0037252B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докладе рассматривались </w:t>
      </w:r>
      <w:proofErr w:type="spellStart"/>
      <w:r w:rsidR="0037252B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нтертекстуальные</w:t>
      </w:r>
      <w:proofErr w:type="spellEnd"/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автоинтертекстуальные</w:t>
      </w:r>
      <w:proofErr w:type="spellEnd"/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связи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частности, художественный образ, созданный на основе реальной усадьбы тетушки</w:t>
      </w:r>
      <w:r w:rsidR="00CA7297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писателя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Скрегеловки</w:t>
      </w:r>
      <w:proofErr w:type="spellEnd"/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«усадебных» текстов А.Н. Толстого, созданных в период  </w:t>
      </w:r>
      <w:r w:rsidR="00A61FDF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1920–1940-х гг.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вобравших </w:t>
      </w:r>
      <w:r w:rsidR="00CA7297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себя 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традиционные для русской классической литературы 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приемы 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изображении усадьбы и усадебного быта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(идиллическое изображение усадьбы и стилизация речи героев)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 и характерные для поэтики 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фантастической литературы 1920-х гг. (образ заброшенной усадьбы, например), а также индивидуальные 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приемы в развитии сюжетов, характеров и стиля</w:t>
      </w:r>
      <w:r w:rsidR="0037252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восходящие к ранним рассказам А.Н. Толстого 1910-х гг</w:t>
      </w:r>
      <w:r w:rsidR="00A61FDF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302D5" w:rsidRPr="00F51F69" w:rsidRDefault="00D444A8" w:rsidP="00F86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докладе </w:t>
      </w:r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д.ф.н., </w:t>
      </w:r>
      <w:proofErr w:type="spellStart"/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в.н.с</w:t>
      </w:r>
      <w:proofErr w:type="spellEnd"/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A7297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ИМЛИ РАН </w:t>
      </w:r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Валерии Геннадьевны Андреевой «Усадебная жизнь Толстого и его героев как элемент </w:t>
      </w:r>
      <w:proofErr w:type="spellStart"/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интертекста</w:t>
      </w:r>
      <w:proofErr w:type="spellEnd"/>
      <w:r w:rsidR="00F86F94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романе Б.Л. Пастернака “Доктор Живаго”»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показано, что использование Б.Л. Пастернаком в романе «Доктор Живаго»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аллюзий, отсылающих читателей к текстам Л.Н. Толстого и биографии писателя, значительно расширяет границы повествования, усложняет и удлиняет ассоциативные ряды, выводя читателя от проблем конкретного времени к вечным вопросам взаимоотношений людей, понимания ими своего места и назначения. Образы усадьбы и дома у Л.Н. Толстого 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Б.Л. Пастернака становятся важнейшими смысловыми центрами романов, точками отсчета жизни и ее отрезков, интервалов для многих героев. Взгляды Пастернака и его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автобиографического героя Юрия Живаго во многом перекликаются с толстовскими, однако именно с гармоничными и целостными воззрениями самого Толстого, </w:t>
      </w:r>
      <w:r w:rsidR="00601A66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с идеями толстовцев, фактически извративших мысли классика. В «Докторе Живаго» Пастернак гармонично наследует и воплощает ту двойственность, которая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благодаря масштабу личности великого классика непротиворечиво существовала в жизни и взглядах Толстого. С одной стороны, как и Толстой, Пастернак оказался сторонником родовой дворянской жизни, усадебного бытия — тех «красивых» форм, которые неизмеримо быстро в конце XIX 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начале XX 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вырождались и уходили из русской жизни, с другой стороны, оба писателя разделяли позицию народа, радели за счастье своей страны. Обзорно выражая цель путешествия семьи Живаго в </w:t>
      </w:r>
      <w:proofErr w:type="spellStart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Варыкино</w:t>
      </w:r>
      <w:proofErr w:type="spellEnd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герой романа </w:t>
      </w:r>
      <w:proofErr w:type="spellStart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Самдевятов</w:t>
      </w:r>
      <w:proofErr w:type="spellEnd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обозначает ее как «извечную тягу человека к земле», «мечту пропитаться своими руками». По сути дела, Пастернак формулирует одну из ключевых мыслей интеллигенции конца XIX – начала XX в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одну из главных забот позднего Толстого. Именно усадебное бытие, по мнению Пастернака, было лучшей формой, которую человечеству придется возрождать в будущем, переживая тягу к настоящей работе. Творчество, любовь и семья у писателя закономерно связываются с образом дома: по воле злого рока и сумасшедшего революционного века Живаго, Лариса, Антипов и многие другие герои романа не могут найти свои дома, однако они несут на себе не столько «все темы времени, все его слезы и обиды», сколько берегут завещанные жизнью XIX в</w:t>
      </w:r>
      <w:r w:rsidR="00F86F9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русской классической литературой образцы высокой дворянской культуры. В докладе было убедительно доказано, что Пастернак творчески осваивает толстовские картины эпического масштаба, положени</w:t>
      </w:r>
      <w:r w:rsidR="00601A66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государства в ситуации угрозы небытия.</w:t>
      </w:r>
    </w:p>
    <w:p w:rsidR="000302D5" w:rsidRPr="00F51F69" w:rsidRDefault="00F86F94" w:rsidP="00F86F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К.ф.н., </w:t>
      </w:r>
      <w:proofErr w:type="spellStart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с.н.с</w:t>
      </w:r>
      <w:proofErr w:type="spellEnd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17E9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ИМЛИ РАН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Полина Алексеевна 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Ворон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«Рецепция усадьбы в эпоху технического прогресса: трансформация терминов»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материале произведений В.В. Маяковского (лирика 1920-х гг.), В. Хлебникова («Учитель и ученик», «Доски судьбы»), А.П. Платонова (рассказы,  «Котлован»)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показала </w:t>
      </w:r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«усадебного </w:t>
      </w:r>
      <w:proofErr w:type="spellStart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сверхтекста</w:t>
      </w:r>
      <w:proofErr w:type="spellEnd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русской литературы в неклассический период, когда включаются механизмы его </w:t>
      </w:r>
      <w:proofErr w:type="spellStart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реконтекстуализации</w:t>
      </w:r>
      <w:proofErr w:type="spellEnd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построение аксиологического идеала, контрастирующего с современностью, </w:t>
      </w:r>
      <w:proofErr w:type="spellStart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интертекстуальная</w:t>
      </w:r>
      <w:proofErr w:type="spellEnd"/>
      <w:r w:rsidR="000302D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структура текста, построенного по принципу палимпсеста, а также ироническая и метафизическая интерпретации устойчивых сюжетов.</w:t>
      </w:r>
    </w:p>
    <w:p w:rsidR="004E7A61" w:rsidRPr="00F51F69" w:rsidRDefault="00F86F94" w:rsidP="00F86F94">
      <w:pPr>
        <w:tabs>
          <w:tab w:val="left" w:pos="0"/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Доклад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к.ф.н., </w:t>
      </w:r>
      <w:proofErr w:type="spellStart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с.н.с</w:t>
      </w:r>
      <w:proofErr w:type="spellEnd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037E8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ИМЛИ РАН 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Георгия Александровича </w:t>
      </w:r>
      <w:proofErr w:type="spellStart"/>
      <w:r w:rsidR="0056600B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Велигорск</w:t>
      </w: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proofErr w:type="spellEnd"/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00B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«Топонимический элемент “-</w:t>
      </w:r>
      <w:r w:rsidR="0056600B" w:rsidRPr="00F51F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end</w:t>
      </w:r>
      <w:r w:rsidR="0056600B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 в англоязычном “усадебном” тезаурусе: семантика и функция»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</w:t>
      </w:r>
      <w:r w:rsidR="0056600B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посвящен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анализу истории топонимического элемента «-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end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», фигурирующего в названиях многих усадеб, как реальных (</w:t>
      </w:r>
      <w:r w:rsidR="00C76962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ферма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Дич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Энд (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Dichende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 в Нортумберленде, деревня Берн-Энд (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Burne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End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) в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Букингемшире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др.), так и литературных (</w:t>
      </w:r>
      <w:r w:rsidR="00C76962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особняк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Фримэнз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-Энд (Тупик Вольного Человека) из романа Дж. Элиот «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Мидлмарч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(1871), 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Говардз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-Энд из одноименного романа Э.М. Форстера (1910),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Моул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-Энд (Кротовый Тупик) из повести К.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Грэма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«Ветер в ивах» (1908),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Бэг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-Энд (Торба-на-Круче) из сказки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Дж.Р.Р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Толкина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или Туда и обратно» (1937) и трилогии «Властелин колец» (1955), и проч.). Внимание было уделено неочевидным, «подспудным», в том числе метафизическим, коннотациям этого понятия (дом «на околице», </w:t>
      </w:r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«на отшибе», «тупик», «цель», «назначение» и проч.). Особо был рассмотрен генезис элемента «-</w:t>
      </w:r>
      <w:proofErr w:type="spellStart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end</w:t>
      </w:r>
      <w:proofErr w:type="spellEnd"/>
      <w:r w:rsidR="00756A09"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», уходящий глубоко в историю английской усадьбы (в частности, он упоминается еще в «Книге Судного дня», первой поземельной переписи Англии, предпринятой в XI в. Вильгельмом Завоевателем).</w:t>
      </w:r>
    </w:p>
    <w:p w:rsidR="007E1877" w:rsidRPr="00F51F69" w:rsidRDefault="007E1877" w:rsidP="006B34A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252B" w:rsidRPr="00F51F69" w:rsidRDefault="0037252B" w:rsidP="006B34A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 докладов возникла оживленная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1F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дискусси</w:t>
      </w:r>
      <w:r w:rsidR="00903E92" w:rsidRPr="00F51F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я, </w:t>
      </w:r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которой, в частности,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</w:t>
      </w:r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 участие </w:t>
      </w:r>
      <w:r w:rsidR="001179A5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новый молодой исполнитель проекта, </w:t>
      </w:r>
      <w:proofErr w:type="spellStart"/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магистрантка</w:t>
      </w:r>
      <w:proofErr w:type="spellEnd"/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Института филологии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Московского педагогического государственного университета </w:t>
      </w:r>
      <w:r w:rsidRPr="00F51F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Дарья </w:t>
      </w:r>
      <w:r w:rsidR="00FF5D53" w:rsidRPr="00F51F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Максимовна </w:t>
      </w:r>
      <w:r w:rsidRPr="00F51F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Борисова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632E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доклада О.А. Богдановой и на основании анализа текстов русской литературы советского периода участники семинара пришли к выводу о существовании в понятии «</w:t>
      </w:r>
      <w:proofErr w:type="spellStart"/>
      <w:r w:rsidR="006632E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сверхтекст</w:t>
      </w:r>
      <w:proofErr w:type="spellEnd"/>
      <w:r w:rsidR="006632E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двух модусов: мистического и сатирического. В ходе обсуждения доклада Е.Е. Дмитриевой было сформулировано понятие «усадьба оккупированная», т.е. попавшая в зону </w:t>
      </w:r>
      <w:r w:rsidR="00903E9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иностранной </w:t>
      </w:r>
      <w:r w:rsidR="006632E4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оккупации и потерявшая свой внешний вид, утратившая историю, судьбу. Это особое явление, возникшее на территории Малороссии в ходе Первой мировой войны, в России и в Европе во время Второй мировой войны.</w:t>
      </w:r>
    </w:p>
    <w:p w:rsidR="00072CED" w:rsidRPr="00F51F69" w:rsidRDefault="006632E4" w:rsidP="00E25FB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аинтересованная дискуссия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возникла после доклада Н.В. Михаленко, в котором речь шла о понятии «</w:t>
      </w:r>
      <w:proofErr w:type="spellStart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усадебность</w:t>
      </w:r>
      <w:proofErr w:type="spellEnd"/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D43B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в переходном</w:t>
      </w:r>
      <w:r w:rsidR="00AC508E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6A5C1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феномену </w:t>
      </w:r>
      <w:r w:rsidR="00AC508E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дач</w:t>
      </w:r>
      <w:r w:rsidR="006A5C12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D43B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модифицированном варианте, что, по замечанию О.А. Богдановой, еще нуждается в осмыслении. </w:t>
      </w:r>
      <w:r w:rsidR="00E25FBE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Таким образом, участники и гости семинара согласились с необходимостью 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обсужд</w:t>
      </w:r>
      <w:r w:rsidR="00E25FBE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ения новых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аспект</w:t>
      </w:r>
      <w:r w:rsidR="00E25FBE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072CE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терминологии в изучении русской усадьбы.</w:t>
      </w:r>
    </w:p>
    <w:p w:rsidR="00E25FBE" w:rsidRPr="00F51F69" w:rsidRDefault="00E25FBE" w:rsidP="00E25FB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завершении заседания руководитель </w:t>
      </w:r>
      <w:r w:rsidR="00ED43BD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О.А. Богданова подчеркнула значимость теоретико-методологического направления в изучении усадьбы и дачи в русской литературе ХХ−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</w:t>
      </w:r>
    </w:p>
    <w:p w:rsidR="00E25FBE" w:rsidRPr="00F51F69" w:rsidRDefault="00E25FBE" w:rsidP="00E25FB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25FBE" w:rsidRPr="00F51F69" w:rsidRDefault="00E25FBE" w:rsidP="00E25FB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2CED" w:rsidRPr="00AF554B" w:rsidRDefault="00072CED" w:rsidP="006B34A8">
      <w:pPr>
        <w:tabs>
          <w:tab w:val="left" w:pos="-567"/>
        </w:tabs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F69">
        <w:rPr>
          <w:rFonts w:ascii="Times New Roman" w:hAnsi="Times New Roman" w:cs="Times New Roman"/>
          <w:i/>
          <w:sz w:val="28"/>
          <w:szCs w:val="28"/>
        </w:rPr>
        <w:t>Отчет подготовила А.С. Акимова</w:t>
      </w:r>
    </w:p>
    <w:p w:rsidR="005B17EC" w:rsidRDefault="005B17EC" w:rsidP="006B34A8">
      <w:pPr>
        <w:ind w:right="-1" w:firstLine="709"/>
      </w:pPr>
    </w:p>
    <w:sectPr w:rsidR="005B17EC" w:rsidSect="00072CE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28" w:rsidRDefault="004D6128" w:rsidP="00D03ADB">
      <w:pPr>
        <w:spacing w:after="0" w:line="240" w:lineRule="auto"/>
      </w:pPr>
      <w:r>
        <w:separator/>
      </w:r>
    </w:p>
  </w:endnote>
  <w:endnote w:type="continuationSeparator" w:id="0">
    <w:p w:rsidR="004D6128" w:rsidRDefault="004D6128" w:rsidP="00D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429"/>
      <w:docPartObj>
        <w:docPartGallery w:val="Page Numbers (Bottom of Page)"/>
        <w:docPartUnique/>
      </w:docPartObj>
    </w:sdtPr>
    <w:sdtEndPr/>
    <w:sdtContent>
      <w:p w:rsidR="00D03ADB" w:rsidRDefault="00D03A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69">
          <w:rPr>
            <w:noProof/>
          </w:rPr>
          <w:t>6</w:t>
        </w:r>
        <w:r>
          <w:fldChar w:fldCharType="end"/>
        </w:r>
      </w:p>
    </w:sdtContent>
  </w:sdt>
  <w:p w:rsidR="00D03ADB" w:rsidRDefault="00D03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28" w:rsidRDefault="004D6128" w:rsidP="00D03ADB">
      <w:pPr>
        <w:spacing w:after="0" w:line="240" w:lineRule="auto"/>
      </w:pPr>
      <w:r>
        <w:separator/>
      </w:r>
    </w:p>
  </w:footnote>
  <w:footnote w:type="continuationSeparator" w:id="0">
    <w:p w:rsidR="004D6128" w:rsidRDefault="004D6128" w:rsidP="00D0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260A2"/>
    <w:rsid w:val="000302D5"/>
    <w:rsid w:val="00037253"/>
    <w:rsid w:val="00072CED"/>
    <w:rsid w:val="001179A5"/>
    <w:rsid w:val="0014167B"/>
    <w:rsid w:val="001B5AB1"/>
    <w:rsid w:val="00265ED8"/>
    <w:rsid w:val="002C4661"/>
    <w:rsid w:val="00340491"/>
    <w:rsid w:val="0037252B"/>
    <w:rsid w:val="003D0B21"/>
    <w:rsid w:val="0044293F"/>
    <w:rsid w:val="00444C20"/>
    <w:rsid w:val="004B6C35"/>
    <w:rsid w:val="004D3EA7"/>
    <w:rsid w:val="004D6128"/>
    <w:rsid w:val="004E7A61"/>
    <w:rsid w:val="0051194B"/>
    <w:rsid w:val="005375FF"/>
    <w:rsid w:val="0056600B"/>
    <w:rsid w:val="00571EBA"/>
    <w:rsid w:val="005B17EC"/>
    <w:rsid w:val="00601A66"/>
    <w:rsid w:val="006632E4"/>
    <w:rsid w:val="006A5C12"/>
    <w:rsid w:val="006B34A8"/>
    <w:rsid w:val="00756A09"/>
    <w:rsid w:val="0078740A"/>
    <w:rsid w:val="007E1877"/>
    <w:rsid w:val="00801CE3"/>
    <w:rsid w:val="008A3FDB"/>
    <w:rsid w:val="009037E8"/>
    <w:rsid w:val="00903E92"/>
    <w:rsid w:val="00A61FDF"/>
    <w:rsid w:val="00AC508E"/>
    <w:rsid w:val="00AD368A"/>
    <w:rsid w:val="00B369B5"/>
    <w:rsid w:val="00B86C80"/>
    <w:rsid w:val="00BA20E4"/>
    <w:rsid w:val="00BB2F2C"/>
    <w:rsid w:val="00C17E98"/>
    <w:rsid w:val="00C76962"/>
    <w:rsid w:val="00CA7297"/>
    <w:rsid w:val="00CD1C3A"/>
    <w:rsid w:val="00D03ADB"/>
    <w:rsid w:val="00D444A8"/>
    <w:rsid w:val="00D67168"/>
    <w:rsid w:val="00E25FBE"/>
    <w:rsid w:val="00ED43BD"/>
    <w:rsid w:val="00F51F69"/>
    <w:rsid w:val="00F86F94"/>
    <w:rsid w:val="00F9605C"/>
    <w:rsid w:val="00FE039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64</cp:revision>
  <dcterms:created xsi:type="dcterms:W3CDTF">2023-01-13T11:29:00Z</dcterms:created>
  <dcterms:modified xsi:type="dcterms:W3CDTF">2023-02-19T19:23:00Z</dcterms:modified>
</cp:coreProperties>
</file>