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>Институт мировой литературы им. А.М. Горького РАН</w:t>
      </w:r>
    </w:p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 xml:space="preserve">Отдел русской литературы конца XIX — начала ХХ в., </w:t>
      </w:r>
    </w:p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>Отдел русской классической литературы,</w:t>
      </w:r>
    </w:p>
    <w:p w:rsid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 xml:space="preserve">Отдел новейшей русской литературы и литературы русского зарубежья, </w:t>
      </w:r>
    </w:p>
    <w:p w:rsidR="009F59B6" w:rsidRPr="009F59B6" w:rsidRDefault="00702940" w:rsidP="00702940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>Отдел классических литератур Запада и сравнительного литературоведения,</w:t>
      </w:r>
    </w:p>
    <w:p w:rsidR="009F59B6" w:rsidRPr="009F59B6" w:rsidRDefault="009F59B6" w:rsidP="00426E87">
      <w:pPr>
        <w:spacing w:after="0" w:line="240" w:lineRule="auto"/>
        <w:ind w:left="-567" w:right="283"/>
        <w:jc w:val="center"/>
        <w:rPr>
          <w:rStyle w:val="s1"/>
          <w:rFonts w:ascii="Times New Roman" w:hAnsi="Times New Roman"/>
          <w:sz w:val="24"/>
          <w:szCs w:val="24"/>
        </w:rPr>
      </w:pPr>
      <w:r w:rsidRPr="009F59B6">
        <w:rPr>
          <w:rStyle w:val="s1"/>
          <w:rFonts w:ascii="Times New Roman" w:hAnsi="Times New Roman"/>
          <w:sz w:val="24"/>
          <w:szCs w:val="24"/>
        </w:rPr>
        <w:t>Совет молодых ученых</w:t>
      </w:r>
    </w:p>
    <w:p w:rsidR="009F59B6" w:rsidRPr="00531B65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</w:rPr>
      </w:pPr>
    </w:p>
    <w:p w:rsidR="009F59B6" w:rsidRDefault="00DB6ED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261937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28"/>
          <w:szCs w:val="28"/>
        </w:rPr>
      </w:pPr>
    </w:p>
    <w:p w:rsidR="009F59B6" w:rsidRPr="00426E87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32"/>
          <w:szCs w:val="32"/>
        </w:rPr>
      </w:pPr>
      <w:r w:rsidRPr="00426E87">
        <w:rPr>
          <w:rStyle w:val="s1"/>
          <w:sz w:val="32"/>
          <w:szCs w:val="32"/>
        </w:rPr>
        <w:t>Научный семинар</w:t>
      </w:r>
    </w:p>
    <w:p w:rsidR="009F59B6" w:rsidRDefault="009F59B6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32"/>
          <w:szCs w:val="32"/>
        </w:rPr>
      </w:pPr>
    </w:p>
    <w:p w:rsidR="00AF78B9" w:rsidRDefault="00AF78B9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32"/>
          <w:szCs w:val="32"/>
        </w:rPr>
      </w:pPr>
    </w:p>
    <w:p w:rsidR="00AF78B9" w:rsidRPr="00426E87" w:rsidRDefault="00AF78B9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sz w:val="32"/>
          <w:szCs w:val="32"/>
        </w:rPr>
      </w:pPr>
    </w:p>
    <w:p w:rsidR="00AF78B9" w:rsidRDefault="00AF78B9" w:rsidP="00426E87">
      <w:pPr>
        <w:pStyle w:val="p2"/>
        <w:spacing w:before="0" w:beforeAutospacing="0" w:after="0" w:afterAutospacing="0"/>
        <w:ind w:left="-567" w:right="283"/>
        <w:jc w:val="center"/>
        <w:rPr>
          <w:b/>
          <w:bCs/>
          <w:kern w:val="36"/>
          <w:sz w:val="32"/>
          <w:szCs w:val="32"/>
        </w:rPr>
      </w:pPr>
      <w:r w:rsidRPr="00AF78B9">
        <w:rPr>
          <w:b/>
          <w:bCs/>
          <w:kern w:val="36"/>
          <w:sz w:val="32"/>
          <w:szCs w:val="32"/>
        </w:rPr>
        <w:t>Компаративи</w:t>
      </w:r>
      <w:r>
        <w:rPr>
          <w:b/>
          <w:bCs/>
          <w:kern w:val="36"/>
          <w:sz w:val="32"/>
          <w:szCs w:val="32"/>
        </w:rPr>
        <w:t>стика на службе усадьбоведения:</w:t>
      </w:r>
    </w:p>
    <w:p w:rsidR="00AF78B9" w:rsidRDefault="00AF78B9" w:rsidP="00426E87">
      <w:pPr>
        <w:pStyle w:val="p2"/>
        <w:spacing w:before="0" w:beforeAutospacing="0" w:after="0" w:afterAutospacing="0"/>
        <w:ind w:left="-567" w:right="283"/>
        <w:jc w:val="center"/>
        <w:rPr>
          <w:b/>
          <w:bCs/>
          <w:kern w:val="36"/>
          <w:sz w:val="32"/>
          <w:szCs w:val="32"/>
        </w:rPr>
      </w:pPr>
      <w:r w:rsidRPr="00AF78B9">
        <w:rPr>
          <w:b/>
          <w:bCs/>
          <w:kern w:val="36"/>
          <w:sz w:val="32"/>
          <w:szCs w:val="32"/>
        </w:rPr>
        <w:t>проблем</w:t>
      </w:r>
      <w:r>
        <w:rPr>
          <w:b/>
          <w:bCs/>
          <w:kern w:val="36"/>
          <w:sz w:val="32"/>
          <w:szCs w:val="32"/>
        </w:rPr>
        <w:t>ы сравнительного анализа усадеб</w:t>
      </w:r>
    </w:p>
    <w:p w:rsidR="00AF78B9" w:rsidRDefault="00AF78B9" w:rsidP="00426E87">
      <w:pPr>
        <w:pStyle w:val="p2"/>
        <w:spacing w:before="0" w:beforeAutospacing="0" w:after="0" w:afterAutospacing="0"/>
        <w:ind w:left="-567" w:right="283"/>
        <w:jc w:val="center"/>
        <w:rPr>
          <w:b/>
          <w:bCs/>
          <w:kern w:val="36"/>
          <w:sz w:val="32"/>
          <w:szCs w:val="32"/>
        </w:rPr>
      </w:pPr>
      <w:r w:rsidRPr="00AF78B9">
        <w:rPr>
          <w:b/>
          <w:bCs/>
          <w:kern w:val="36"/>
          <w:sz w:val="32"/>
          <w:szCs w:val="32"/>
        </w:rPr>
        <w:t>в русской, франц</w:t>
      </w:r>
      <w:r>
        <w:rPr>
          <w:b/>
          <w:bCs/>
          <w:kern w:val="36"/>
          <w:sz w:val="32"/>
          <w:szCs w:val="32"/>
        </w:rPr>
        <w:t>узской и английской литературах</w:t>
      </w:r>
    </w:p>
    <w:p w:rsidR="00426E87" w:rsidRDefault="00AF78B9" w:rsidP="00AF78B9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  <w:r w:rsidRPr="00AF78B9">
        <w:rPr>
          <w:b/>
          <w:bCs/>
          <w:kern w:val="36"/>
          <w:sz w:val="32"/>
          <w:szCs w:val="32"/>
        </w:rPr>
        <w:t>рубежа XIX–XX вв</w:t>
      </w:r>
      <w:r>
        <w:rPr>
          <w:rStyle w:val="s1"/>
          <w:b/>
          <w:bCs/>
        </w:rPr>
        <w:t>.</w:t>
      </w:r>
    </w:p>
    <w:p w:rsidR="00426E87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AF78B9" w:rsidRDefault="00AF78B9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DB6ED7" w:rsidRDefault="00DB6ED7" w:rsidP="00DB6ED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ED7" w:rsidRDefault="00DB6ED7" w:rsidP="00DB6ED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6ED7" w:rsidRPr="00827FEE" w:rsidRDefault="00DB6ED7" w:rsidP="00DB6ED7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7FEE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Финансовая поддержка Российского научного фонда (проект № 18-18-00129)</w:t>
      </w:r>
    </w:p>
    <w:p w:rsidR="00426E87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426E87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/>
          <w:bCs/>
        </w:rPr>
      </w:pPr>
    </w:p>
    <w:p w:rsidR="00DB6ED7" w:rsidRDefault="00DB6ED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Cs/>
          <w:sz w:val="28"/>
          <w:szCs w:val="28"/>
        </w:rPr>
      </w:pPr>
    </w:p>
    <w:p w:rsidR="00426E87" w:rsidRPr="00A937FE" w:rsidRDefault="00426E87" w:rsidP="00426E87">
      <w:pPr>
        <w:pStyle w:val="p2"/>
        <w:spacing w:before="0" w:beforeAutospacing="0" w:after="0" w:afterAutospacing="0"/>
        <w:ind w:left="-567" w:right="283"/>
        <w:jc w:val="center"/>
        <w:rPr>
          <w:rStyle w:val="s1"/>
          <w:bCs/>
          <w:sz w:val="28"/>
          <w:szCs w:val="28"/>
        </w:rPr>
      </w:pPr>
      <w:r w:rsidRPr="00A937FE">
        <w:rPr>
          <w:rStyle w:val="s1"/>
          <w:bCs/>
          <w:sz w:val="28"/>
          <w:szCs w:val="28"/>
        </w:rPr>
        <w:t>Москва, ИМЛИ РАН</w:t>
      </w:r>
      <w:r w:rsidR="009F3B7D" w:rsidRPr="00A937FE">
        <w:rPr>
          <w:rStyle w:val="s1"/>
          <w:bCs/>
          <w:sz w:val="28"/>
          <w:szCs w:val="28"/>
        </w:rPr>
        <w:t xml:space="preserve">, </w:t>
      </w:r>
      <w:r w:rsidR="00AF78B9">
        <w:rPr>
          <w:rStyle w:val="s1"/>
          <w:bCs/>
          <w:sz w:val="28"/>
          <w:szCs w:val="28"/>
        </w:rPr>
        <w:t>23 апреля</w:t>
      </w:r>
      <w:r w:rsidR="009F3B7D" w:rsidRPr="00A937FE">
        <w:rPr>
          <w:rStyle w:val="s1"/>
          <w:bCs/>
          <w:sz w:val="28"/>
          <w:szCs w:val="28"/>
        </w:rPr>
        <w:t xml:space="preserve"> 2020 г.</w:t>
      </w:r>
    </w:p>
    <w:p w:rsidR="00AF78B9" w:rsidRDefault="00AF78B9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32"/>
          <w:szCs w:val="32"/>
        </w:rPr>
      </w:pPr>
    </w:p>
    <w:p w:rsidR="009F59B6" w:rsidRPr="00426E87" w:rsidRDefault="009F59B6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32"/>
          <w:szCs w:val="32"/>
        </w:rPr>
      </w:pPr>
      <w:r w:rsidRPr="00426E87">
        <w:rPr>
          <w:b/>
          <w:sz w:val="32"/>
          <w:szCs w:val="32"/>
        </w:rPr>
        <w:lastRenderedPageBreak/>
        <w:t>Программа</w:t>
      </w:r>
    </w:p>
    <w:p w:rsidR="00426E87" w:rsidRPr="007223CD" w:rsidRDefault="00426E87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28"/>
          <w:szCs w:val="28"/>
        </w:rPr>
      </w:pPr>
    </w:p>
    <w:p w:rsidR="009F59B6" w:rsidRDefault="009F59B6" w:rsidP="00426E87">
      <w:pPr>
        <w:pStyle w:val="p1"/>
        <w:spacing w:before="0" w:beforeAutospacing="0" w:after="0" w:afterAutospacing="0"/>
        <w:ind w:left="-567" w:right="283"/>
        <w:jc w:val="center"/>
        <w:rPr>
          <w:b/>
          <w:sz w:val="28"/>
          <w:szCs w:val="28"/>
        </w:rPr>
      </w:pPr>
    </w:p>
    <w:p w:rsidR="00AF78B9" w:rsidRPr="00AF78B9" w:rsidRDefault="00AF78B9" w:rsidP="00AF78B9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AF78B9">
        <w:rPr>
          <w:rFonts w:ascii="Times New Roman" w:hAnsi="Times New Roman"/>
          <w:i/>
          <w:sz w:val="28"/>
          <w:szCs w:val="28"/>
        </w:rPr>
        <w:t>Велигорский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78B9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F78B9">
        <w:rPr>
          <w:rFonts w:ascii="Times New Roman" w:hAnsi="Times New Roman"/>
          <w:i/>
          <w:sz w:val="28"/>
          <w:szCs w:val="28"/>
        </w:rPr>
        <w:t>А</w:t>
      </w:r>
      <w:r w:rsidRPr="00AF78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(ИМЛИ РАН). </w:t>
      </w:r>
      <w:r w:rsidRPr="00AF78B9">
        <w:rPr>
          <w:rFonts w:ascii="Times New Roman" w:hAnsi="Times New Roman"/>
          <w:sz w:val="28"/>
          <w:szCs w:val="28"/>
        </w:rPr>
        <w:t xml:space="preserve">Синонимические ряды “усадьба – поместье – усадебный дом” и “manor – estate – mansion”: попытка сопоставительного анализа: </w:t>
      </w:r>
      <w:r>
        <w:rPr>
          <w:rFonts w:ascii="Times New Roman" w:hAnsi="Times New Roman"/>
          <w:sz w:val="28"/>
          <w:szCs w:val="28"/>
        </w:rPr>
        <w:t>историко-литературный контекст.</w:t>
      </w:r>
    </w:p>
    <w:p w:rsidR="00AF78B9" w:rsidRPr="00AF78B9" w:rsidRDefault="00AF78B9" w:rsidP="00AF78B9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AF78B9">
        <w:rPr>
          <w:rFonts w:ascii="Times New Roman" w:hAnsi="Times New Roman"/>
          <w:i/>
          <w:sz w:val="28"/>
          <w:szCs w:val="28"/>
        </w:rPr>
        <w:t>Глухова Е.В</w:t>
      </w:r>
      <w:r w:rsidRPr="00AF78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(ИМЛИ РАН). </w:t>
      </w:r>
      <w:r w:rsidRPr="00AF78B9">
        <w:rPr>
          <w:rFonts w:ascii="Times New Roman" w:hAnsi="Times New Roman"/>
          <w:sz w:val="28"/>
          <w:szCs w:val="28"/>
        </w:rPr>
        <w:t>Готические мотивы и сюжеты в русской усадебной прозе (Одое</w:t>
      </w:r>
      <w:r>
        <w:rPr>
          <w:rFonts w:ascii="Times New Roman" w:hAnsi="Times New Roman"/>
          <w:sz w:val="28"/>
          <w:szCs w:val="28"/>
        </w:rPr>
        <w:t>вский, Чехов, Сологуб, Куприн).</w:t>
      </w:r>
    </w:p>
    <w:p w:rsidR="00AF78B9" w:rsidRPr="00AF78B9" w:rsidRDefault="00AF78B9" w:rsidP="00AF78B9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AF78B9">
        <w:rPr>
          <w:rFonts w:ascii="Times New Roman" w:hAnsi="Times New Roman"/>
          <w:i/>
          <w:sz w:val="28"/>
          <w:szCs w:val="28"/>
        </w:rPr>
        <w:t>Купцова О.Н</w:t>
      </w:r>
      <w:r w:rsidRPr="00AF78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(МГУ). </w:t>
      </w:r>
      <w:r w:rsidRPr="00AF78B9">
        <w:rPr>
          <w:rFonts w:ascii="Times New Roman" w:hAnsi="Times New Roman"/>
          <w:sz w:val="28"/>
          <w:szCs w:val="28"/>
        </w:rPr>
        <w:t>Золотые сны о Европе и работа В.Г. Сахновског</w:t>
      </w:r>
      <w:r>
        <w:rPr>
          <w:rFonts w:ascii="Times New Roman" w:hAnsi="Times New Roman"/>
          <w:sz w:val="28"/>
          <w:szCs w:val="28"/>
        </w:rPr>
        <w:t>о «Крепостной усадебный театр».</w:t>
      </w:r>
    </w:p>
    <w:p w:rsidR="00AF78B9" w:rsidRPr="00AF78B9" w:rsidRDefault="00AF78B9" w:rsidP="00AF78B9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AF78B9">
        <w:rPr>
          <w:rFonts w:ascii="Times New Roman" w:hAnsi="Times New Roman"/>
          <w:i/>
          <w:sz w:val="28"/>
          <w:szCs w:val="28"/>
        </w:rPr>
        <w:t>Халтрин</w:t>
      </w:r>
      <w:r w:rsidRPr="00AF78B9">
        <w:rPr>
          <w:rFonts w:ascii="Times New Roman" w:hAnsi="Times New Roman"/>
          <w:sz w:val="28"/>
          <w:szCs w:val="28"/>
        </w:rPr>
        <w:t>-</w:t>
      </w:r>
      <w:r w:rsidRPr="00AF78B9">
        <w:rPr>
          <w:rFonts w:ascii="Times New Roman" w:hAnsi="Times New Roman"/>
          <w:i/>
          <w:sz w:val="28"/>
          <w:szCs w:val="28"/>
        </w:rPr>
        <w:t>Халтурина Е.В</w:t>
      </w:r>
      <w:r w:rsidRPr="00AF78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(ИМЛИ РАН). </w:t>
      </w:r>
      <w:r w:rsidRPr="00AF78B9">
        <w:rPr>
          <w:rFonts w:ascii="Times New Roman" w:hAnsi="Times New Roman"/>
          <w:sz w:val="28"/>
          <w:szCs w:val="28"/>
        </w:rPr>
        <w:t>Научно-популярная литература о писате</w:t>
      </w:r>
      <w:r>
        <w:rPr>
          <w:rFonts w:ascii="Times New Roman" w:hAnsi="Times New Roman"/>
          <w:sz w:val="28"/>
          <w:szCs w:val="28"/>
        </w:rPr>
        <w:t>льских садах в России и Англии.</w:t>
      </w:r>
    </w:p>
    <w:p w:rsidR="00AF78B9" w:rsidRPr="00AF78B9" w:rsidRDefault="00AF78B9" w:rsidP="00AF78B9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AF78B9">
        <w:rPr>
          <w:rFonts w:ascii="Times New Roman" w:hAnsi="Times New Roman"/>
          <w:i/>
          <w:sz w:val="28"/>
          <w:szCs w:val="28"/>
        </w:rPr>
        <w:t>Дмитриева Е.Е.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78B9">
        <w:rPr>
          <w:rFonts w:ascii="Times New Roman" w:hAnsi="Times New Roman"/>
          <w:i/>
          <w:sz w:val="28"/>
          <w:szCs w:val="28"/>
        </w:rPr>
        <w:t>Черкашина М.В</w:t>
      </w:r>
      <w:r w:rsidRPr="00AF78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(ИМЛИ РАН, РГГУ). </w:t>
      </w:r>
      <w:r w:rsidRPr="00AF78B9">
        <w:rPr>
          <w:rFonts w:ascii="Times New Roman" w:hAnsi="Times New Roman"/>
          <w:sz w:val="28"/>
          <w:szCs w:val="28"/>
        </w:rPr>
        <w:t>Масонские и «мистические» замки-усадьбы Западной Европы (сад versus литературный текс</w:t>
      </w:r>
      <w:r>
        <w:rPr>
          <w:rFonts w:ascii="Times New Roman" w:hAnsi="Times New Roman"/>
          <w:sz w:val="28"/>
          <w:szCs w:val="28"/>
        </w:rPr>
        <w:t>т): усадьба Кинта де Регалейра.</w:t>
      </w:r>
    </w:p>
    <w:p w:rsidR="002133CA" w:rsidRDefault="00AF78B9" w:rsidP="00AF78B9">
      <w:pPr>
        <w:spacing w:line="240" w:lineRule="auto"/>
        <w:ind w:left="-567" w:right="283"/>
        <w:jc w:val="both"/>
        <w:rPr>
          <w:rFonts w:ascii="Times New Roman" w:hAnsi="Times New Roman"/>
          <w:sz w:val="28"/>
          <w:szCs w:val="28"/>
        </w:rPr>
      </w:pPr>
      <w:r w:rsidRPr="00AF78B9">
        <w:rPr>
          <w:rFonts w:ascii="Times New Roman" w:hAnsi="Times New Roman"/>
          <w:i/>
          <w:sz w:val="28"/>
          <w:szCs w:val="28"/>
        </w:rPr>
        <w:t>Савелли Д</w:t>
      </w:r>
      <w:r>
        <w:rPr>
          <w:rFonts w:ascii="Times New Roman" w:hAnsi="Times New Roman"/>
          <w:sz w:val="28"/>
          <w:szCs w:val="28"/>
        </w:rPr>
        <w:t>. (Тулуз</w:t>
      </w:r>
      <w:r w:rsidR="00B741CA">
        <w:rPr>
          <w:rFonts w:ascii="Times New Roman" w:hAnsi="Times New Roman"/>
          <w:sz w:val="28"/>
          <w:szCs w:val="28"/>
        </w:rPr>
        <w:t>ский ун-т, Франция</w:t>
      </w:r>
      <w:r>
        <w:rPr>
          <w:rFonts w:ascii="Times New Roman" w:hAnsi="Times New Roman"/>
          <w:sz w:val="28"/>
          <w:szCs w:val="28"/>
        </w:rPr>
        <w:t xml:space="preserve">). </w:t>
      </w:r>
      <w:r w:rsidRPr="00AF78B9">
        <w:rPr>
          <w:rFonts w:ascii="Times New Roman" w:hAnsi="Times New Roman"/>
          <w:sz w:val="28"/>
          <w:szCs w:val="28"/>
        </w:rPr>
        <w:t>Усадьба Николая Рериха на Алтае (Беловодье) гл</w:t>
      </w:r>
      <w:r>
        <w:rPr>
          <w:rFonts w:ascii="Times New Roman" w:hAnsi="Times New Roman"/>
          <w:sz w:val="28"/>
          <w:szCs w:val="28"/>
        </w:rPr>
        <w:t>азами французского исследователя.</w:t>
      </w:r>
    </w:p>
    <w:sectPr w:rsidR="002133CA" w:rsidSect="00B56A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AF" w:rsidRDefault="000100AF" w:rsidP="00426E87">
      <w:pPr>
        <w:spacing w:after="0" w:line="240" w:lineRule="auto"/>
      </w:pPr>
      <w:r>
        <w:separator/>
      </w:r>
    </w:p>
  </w:endnote>
  <w:endnote w:type="continuationSeparator" w:id="0">
    <w:p w:rsidR="000100AF" w:rsidRDefault="000100AF" w:rsidP="0042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7FE" w:rsidRDefault="00A937FE">
    <w:pPr>
      <w:pStyle w:val="a6"/>
      <w:jc w:val="center"/>
    </w:pPr>
    <w:fldSimple w:instr="PAGE   \* MERGEFORMAT">
      <w:r w:rsidR="00DB6ED7">
        <w:rPr>
          <w:noProof/>
        </w:rPr>
        <w:t>2</w:t>
      </w:r>
    </w:fldSimple>
  </w:p>
  <w:p w:rsidR="00426E87" w:rsidRDefault="00426E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AF" w:rsidRDefault="000100AF" w:rsidP="00426E87">
      <w:pPr>
        <w:spacing w:after="0" w:line="240" w:lineRule="auto"/>
      </w:pPr>
      <w:r>
        <w:separator/>
      </w:r>
    </w:p>
  </w:footnote>
  <w:footnote w:type="continuationSeparator" w:id="0">
    <w:p w:rsidR="000100AF" w:rsidRDefault="000100AF" w:rsidP="00426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1B"/>
    <w:rsid w:val="000100AF"/>
    <w:rsid w:val="00151901"/>
    <w:rsid w:val="002133CA"/>
    <w:rsid w:val="00243FC3"/>
    <w:rsid w:val="003F1917"/>
    <w:rsid w:val="00426E87"/>
    <w:rsid w:val="00582A2A"/>
    <w:rsid w:val="005E5A88"/>
    <w:rsid w:val="00616D2F"/>
    <w:rsid w:val="006C1B8C"/>
    <w:rsid w:val="00702940"/>
    <w:rsid w:val="007223CD"/>
    <w:rsid w:val="00730EE7"/>
    <w:rsid w:val="007C657F"/>
    <w:rsid w:val="007D53AE"/>
    <w:rsid w:val="0091571B"/>
    <w:rsid w:val="009B1014"/>
    <w:rsid w:val="009C5507"/>
    <w:rsid w:val="009E1712"/>
    <w:rsid w:val="009F3B7D"/>
    <w:rsid w:val="009F59B6"/>
    <w:rsid w:val="00A937FE"/>
    <w:rsid w:val="00AF78B9"/>
    <w:rsid w:val="00B56A8E"/>
    <w:rsid w:val="00B741CA"/>
    <w:rsid w:val="00BC5A9E"/>
    <w:rsid w:val="00C634E6"/>
    <w:rsid w:val="00C8614A"/>
    <w:rsid w:val="00DB6ED7"/>
    <w:rsid w:val="00DC27CC"/>
    <w:rsid w:val="00F7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F5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43FC3"/>
    <w:rPr>
      <w:b/>
      <w:bCs/>
    </w:rPr>
  </w:style>
  <w:style w:type="paragraph" w:customStyle="1" w:styleId="p2">
    <w:name w:val="p2"/>
    <w:basedOn w:val="a"/>
    <w:rsid w:val="009F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9F59B6"/>
  </w:style>
  <w:style w:type="paragraph" w:customStyle="1" w:styleId="p1">
    <w:name w:val="p1"/>
    <w:basedOn w:val="a"/>
    <w:rsid w:val="009F5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F59B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426E87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426E8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26E8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426E87"/>
    <w:rPr>
      <w:sz w:val="22"/>
      <w:szCs w:val="22"/>
      <w:lang w:eastAsia="en-US"/>
    </w:rPr>
  </w:style>
  <w:style w:type="paragraph" w:styleId="a8">
    <w:name w:val="No Spacing"/>
    <w:uiPriority w:val="1"/>
    <w:qFormat/>
    <w:rsid w:val="00DB6ED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2020-11-17T19:34:00Z</dcterms:created>
  <dcterms:modified xsi:type="dcterms:W3CDTF">2020-11-17T19:34:00Z</dcterms:modified>
</cp:coreProperties>
</file>